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Pr="00B46C53" w:rsidRDefault="00B46C53" w:rsidP="00B46C53">
      <w:bookmarkStart w:id="0" w:name="_GoBack"/>
      <w:bookmarkEnd w:id="0"/>
    </w:p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3DC7" w:rsidRPr="00F43DC7" w:rsidRDefault="002C230B" w:rsidP="00F43DC7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230B">
        <w:rPr>
          <w:rFonts w:ascii="Times New Roman" w:hAnsi="Times New Roman" w:cs="Times New Roman"/>
          <w:color w:val="auto"/>
          <w:sz w:val="24"/>
          <w:szCs w:val="24"/>
        </w:rPr>
        <w:t xml:space="preserve">ОПИСАНИЕ 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 xml:space="preserve">ПРОЦЕССОВ, ОБЕСПЕЧИВАЮЩИХ </w:t>
      </w:r>
      <w:r w:rsidR="00D90F15">
        <w:rPr>
          <w:rFonts w:ascii="Times New Roman" w:hAnsi="Times New Roman" w:cs="Times New Roman"/>
          <w:color w:val="auto"/>
          <w:sz w:val="24"/>
          <w:szCs w:val="24"/>
        </w:rPr>
        <w:t xml:space="preserve">ПОДДЕРЖАНИЕ </w:t>
      </w:r>
      <w:r w:rsidRPr="002C230B">
        <w:rPr>
          <w:rFonts w:ascii="Times New Roman" w:hAnsi="Times New Roman" w:cs="Times New Roman"/>
          <w:color w:val="auto"/>
          <w:sz w:val="24"/>
          <w:szCs w:val="24"/>
        </w:rPr>
        <w:t xml:space="preserve">ЖИЗНЕННОГО ЦИКЛА 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ПРОГРАММНО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 xml:space="preserve"> ДЛЯ ТЕРМИНАЛЬНЫХ УСТРОЙСТВ «ОМЕГА K600T»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(АСТФ.464514.006 ТУ)</w:t>
      </w:r>
    </w:p>
    <w:p w:rsidR="002C230B" w:rsidRPr="002C230B" w:rsidRDefault="002C230B" w:rsidP="002C230B">
      <w:pPr>
        <w:rPr>
          <w:rFonts w:ascii="Times New Roman" w:hAnsi="Times New Roman" w:cs="Times New Roman"/>
          <w:sz w:val="24"/>
          <w:szCs w:val="24"/>
        </w:rPr>
      </w:pPr>
    </w:p>
    <w:p w:rsidR="000C7A45" w:rsidRPr="002C230B" w:rsidRDefault="000C7A45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30B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94167937"/>
        <w:docPartObj>
          <w:docPartGallery w:val="Table of Contents"/>
          <w:docPartUnique/>
        </w:docPartObj>
      </w:sdtPr>
      <w:sdtContent>
        <w:p w:rsidR="000C7A45" w:rsidRPr="002C230B" w:rsidRDefault="002C230B" w:rsidP="000C7A45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230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B46C53" w:rsidRPr="00B46C53" w:rsidRDefault="000C7A4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C230B">
            <w:fldChar w:fldCharType="begin"/>
          </w:r>
          <w:r w:rsidRPr="002C230B">
            <w:instrText xml:space="preserve"> TOC \o "1-2" \h \z \u </w:instrText>
          </w:r>
          <w:r w:rsidRPr="002C230B">
            <w:fldChar w:fldCharType="separate"/>
          </w:r>
          <w:hyperlink w:anchor="_Toc59703263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Общие сведения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_Toc59703263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6C5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4" w:history="1"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Планирование процессов жизненного цикла продукции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_Toc59703264 \h </w:instrTex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6C5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5" w:history="1"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Определение требований, проектирование и разработка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_Toc59703265 \h </w:instrTex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6C5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6" w:history="1"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Тестирование и отладка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_Toc59703266 \h </w:instrTex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6C5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7" w:history="1"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Эксплуатация и сопровождение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_Toc59703267 \h </w:instrTex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B46C5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8" w:history="1"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Информация о персонале, необходимом для обеспечения поддержки программного обеспечения.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_Toc59703268 \h </w:instrTex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A45" w:rsidRPr="002C230B" w:rsidRDefault="000C7A45" w:rsidP="002C230B">
          <w:pPr>
            <w:tabs>
              <w:tab w:val="right" w:leader="dot" w:pos="9356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C23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C7A45" w:rsidRPr="002C230B" w:rsidRDefault="000C7A45" w:rsidP="0069382B">
      <w:pPr>
        <w:rPr>
          <w:rFonts w:ascii="Times New Roman" w:hAnsi="Times New Roman" w:cs="Times New Roman"/>
          <w:sz w:val="24"/>
          <w:szCs w:val="24"/>
        </w:rPr>
      </w:pPr>
    </w:p>
    <w:p w:rsidR="00794F7F" w:rsidRPr="002C230B" w:rsidRDefault="00531CDD" w:rsidP="002C230B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1" w:name="_Ref442175570"/>
      <w:bookmarkStart w:id="2" w:name="_Toc59703263"/>
      <w:r w:rsidRPr="002C230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Общие сведения</w:t>
      </w:r>
      <w:bookmarkEnd w:id="2"/>
    </w:p>
    <w:p w:rsidR="0098512B" w:rsidRPr="0098512B" w:rsidRDefault="00637995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7CA5">
        <w:rPr>
          <w:rFonts w:ascii="Times New Roman" w:hAnsi="Times New Roman"/>
          <w:sz w:val="24"/>
        </w:rPr>
        <w:t>Программное обеспечение для терминальных устройств «ОМЕГА K600T»</w:t>
      </w:r>
      <w:r w:rsidR="003370D0" w:rsidRPr="006E6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12B">
        <w:rPr>
          <w:rFonts w:ascii="Times New Roman" w:hAnsi="Times New Roman" w:cs="Times New Roman"/>
          <w:sz w:val="24"/>
          <w:szCs w:val="24"/>
          <w:lang w:eastAsia="ru-RU"/>
        </w:rPr>
        <w:t>предназначен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16BB"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обмена голосовыми сообщениями и тональными сигналами в режиме реального времени в составе АПК «ОМЕГА»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512B" w:rsidRPr="0098512B" w:rsidRDefault="00637995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«ОМЕГА K600T» 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>обеспечивает:</w:t>
      </w:r>
    </w:p>
    <w:p w:rsidR="0098512B" w:rsidRPr="0098512B" w:rsidRDefault="0098512B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1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>передачу и прием голосовых сообщений</w:t>
      </w:r>
      <w:r w:rsidR="00637995" w:rsidRPr="00637995">
        <w:rPr>
          <w:rFonts w:ascii="Times New Roman" w:hAnsi="Times New Roman"/>
          <w:sz w:val="24"/>
        </w:rPr>
        <w:t xml:space="preserve"> </w:t>
      </w:r>
      <w:r w:rsidR="00637995">
        <w:rPr>
          <w:rFonts w:ascii="Times New Roman" w:hAnsi="Times New Roman"/>
          <w:sz w:val="24"/>
        </w:rPr>
        <w:t>и тональных сигналов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512B" w:rsidRDefault="0098512B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1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>выбор абонента или группы абонентов для передачи голосовых сообщений</w:t>
      </w:r>
      <w:r w:rsidR="00637995" w:rsidRPr="00637995">
        <w:rPr>
          <w:rFonts w:ascii="Times New Roman" w:hAnsi="Times New Roman"/>
          <w:sz w:val="24"/>
        </w:rPr>
        <w:t xml:space="preserve"> </w:t>
      </w:r>
      <w:r w:rsidR="00637995">
        <w:rPr>
          <w:rFonts w:ascii="Times New Roman" w:hAnsi="Times New Roman"/>
          <w:sz w:val="24"/>
        </w:rPr>
        <w:t>и тональных сигналов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512B" w:rsidRPr="0098512B" w:rsidRDefault="0098512B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1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>выбор типа сигнала (голос или тональный сигнал) для передачи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0D0" w:rsidRDefault="0098512B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1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>выбор средства воспроизведения сообщений (главный динамик, телефонный динамик, гарнитура);</w:t>
      </w:r>
    </w:p>
    <w:p w:rsidR="00637995" w:rsidRPr="002C230B" w:rsidRDefault="00637995" w:rsidP="0098512B">
      <w:pPr>
        <w:rPr>
          <w:rFonts w:ascii="Times New Roman" w:hAnsi="Times New Roman" w:cs="Times New Roman"/>
          <w:sz w:val="24"/>
          <w:szCs w:val="24"/>
        </w:rPr>
      </w:pPr>
      <w:r w:rsidRPr="009851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8512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выбор системной кнопки смартфона для передачи сообщений.</w:t>
      </w:r>
    </w:p>
    <w:p w:rsidR="00794F7F" w:rsidRPr="002C230B" w:rsidRDefault="00642123" w:rsidP="00794F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230B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цикл </w:t>
      </w:r>
      <w:r w:rsidR="002F542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продукта </w:t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 xml:space="preserve">«ОМЕГА K600T» </w:t>
      </w:r>
      <w:r w:rsidRPr="002C230B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в себя следующие </w:t>
      </w:r>
      <w:r w:rsidR="00C65A2C" w:rsidRPr="002C230B">
        <w:rPr>
          <w:rFonts w:ascii="Times New Roman" w:hAnsi="Times New Roman" w:cs="Times New Roman"/>
          <w:sz w:val="24"/>
          <w:szCs w:val="24"/>
          <w:lang w:eastAsia="ru-RU"/>
        </w:rPr>
        <w:t>стадии</w:t>
      </w:r>
      <w:r w:rsidRPr="002C230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разработка;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тестирование и отладка;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эксплуатация и сопровождение.</w:t>
      </w:r>
    </w:p>
    <w:p w:rsidR="00531CDD" w:rsidRPr="002F5422" w:rsidRDefault="00511F10" w:rsidP="00511F10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3" w:name="_Toc59703264"/>
      <w:r w:rsidRPr="00511F10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Планирование процессов жизненного цикла продукции</w:t>
      </w:r>
      <w:bookmarkEnd w:id="3"/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Ref442273311"/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цикл (ЖЦ) включает период создания и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продукта «ОМЕГА K600T»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 момента возникновения потребности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программном продукте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заканчивая разработкой, тестированием и отладкой, поставкой программной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продукции, её эксплуатацией на объектах Заказчика и технической поддержкой.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Жизненный цикл определен с учетом положений следующих стандартов: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 ИСО/МЭК 12207-2010 «Информационная технология. Системная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и программная инженерия. Процессы жизненного цикла программных средств»;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 56939-2016 «Защита информации. Разработка безопасного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обеспечения. Общие требования»;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РВ 0015-002-2012 «Системы менеджмента качества. Общие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требования».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программного продукта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принята итерационная модель жизненного цикла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(Рисунок 1.):</w:t>
      </w:r>
    </w:p>
    <w:p w:rsidR="00511F10" w:rsidRDefault="009D7174" w:rsidP="00FE29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object w:dxaOrig="5610" w:dyaOrig="7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80.8pt;height:355.9pt" o:ole="">
            <v:imagedata r:id="rId8" o:title=""/>
          </v:shape>
          <o:OLEObject Type="Embed" ProgID="Visio.Drawing.15" ShapeID="_x0000_i1031" DrawAspect="Content" ObjectID="_1670316085" r:id="rId9"/>
        </w:object>
      </w:r>
    </w:p>
    <w:p w:rsidR="00511F10" w:rsidRDefault="00FE2964" w:rsidP="00FE29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1. Модель жизненного цикла программного обеспечения</w:t>
      </w:r>
    </w:p>
    <w:p w:rsidR="00511F10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жизненного цикла возможны возвраты к предыдущим этапам для доработок по уточненным требованиям или для устранения обнаруженных ошибок.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Модель жизненного цикла обеспечивает необходимый контроль над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разработкой и сопровождением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1F10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роцессы управления конфигурацией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с использованием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репозитория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эталонных пакетов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дистрибутивов,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стенд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и системы контроля версий.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F10" w:rsidRDefault="00FE2964" w:rsidP="00FE2964">
      <w:pPr>
        <w:pStyle w:val="1"/>
        <w:ind w:left="431" w:hanging="43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59703265"/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Определение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требований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, 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проектирование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и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разработка</w:t>
      </w:r>
      <w:bookmarkEnd w:id="5"/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Ref442273315"/>
      <w:bookmarkEnd w:id="4"/>
      <w:r w:rsidRPr="00FE2964">
        <w:rPr>
          <w:rFonts w:ascii="Times New Roman" w:hAnsi="Times New Roman" w:cs="Times New Roman"/>
          <w:sz w:val="24"/>
          <w:szCs w:val="24"/>
          <w:lang w:eastAsia="ru-RU"/>
        </w:rPr>
        <w:t>Процесс проектирования и разработки определ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определения требований;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оценки входных и выходных данных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установления ответственности за разработку;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планирования проектирования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проведения анализа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проведения верификация и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управления изменениями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осуществления мониторинга этого процесса (установлены критерии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методы оценки результативности процесса).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165217">
        <w:rPr>
          <w:rFonts w:ascii="Times New Roman" w:hAnsi="Times New Roman" w:cs="Times New Roman"/>
          <w:sz w:val="24"/>
          <w:szCs w:val="24"/>
          <w:lang w:eastAsia="ru-RU"/>
        </w:rPr>
        <w:t>програм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>много обеспечения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следующие процессы: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программной архитектуры, а также разработка решений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построению всех составных компонент;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исходных текстов, написание файлов спецификации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сборки пакетов прикладного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сборка пакетов прикладного программного обеспечения и добавление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их в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репозиторий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- сборка дистрибутивов из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репозитория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макетирование и уточнение требований;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тестирование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поиск и устранение уязвимостей;</w:t>
      </w:r>
    </w:p>
    <w:p w:rsid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программной документации в соответствии с ЕСПД и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5B2F" w:rsidRPr="00A45B2F">
        <w:rPr>
          <w:rFonts w:ascii="Times New Roman" w:hAnsi="Times New Roman" w:cs="Times New Roman"/>
          <w:sz w:val="24"/>
          <w:szCs w:val="24"/>
          <w:lang w:eastAsia="ru-RU"/>
        </w:rPr>
        <w:t>для проведения сертификационных работ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Результатами этапа разработки являются: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1. Пакеты программы с исходными кодами.</w:t>
      </w:r>
    </w:p>
    <w:p w:rsid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Программное обеспечение в виде собранных бинарных пакетов и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дистрибутивов.</w:t>
      </w:r>
    </w:p>
    <w:p w:rsidR="00A45B2F" w:rsidRDefault="00A45B2F" w:rsidP="00A45B2F">
      <w:pPr>
        <w:ind w:firstLine="578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Комплект программной документации, разработанной по ЕСПД.</w:t>
      </w:r>
    </w:p>
    <w:p w:rsidR="00A45B2F" w:rsidRPr="00A45B2F" w:rsidRDefault="00A45B2F" w:rsidP="00FE2964">
      <w:pPr>
        <w:ind w:firstLine="57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5B2F" w:rsidRDefault="00A45B2F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B2F" w:rsidRDefault="00A45B2F" w:rsidP="00A45B2F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7" w:name="_Toc59703266"/>
      <w:r w:rsidRPr="00A45B2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Тестирование</w:t>
      </w:r>
      <w:r w:rsidRPr="00A45B2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и</w:t>
      </w:r>
      <w:r w:rsidRPr="00A45B2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отладка</w:t>
      </w:r>
      <w:bookmarkEnd w:id="7"/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Проведение тестирования является обязательным перед передачей версии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потребителю. Тестирование проводится лицами, ответственными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за проведение тестирования программной продукции (отдел тестирования).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тестирования и отладки программной продукции собирается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стенд, выдается задание на тестирование. По результатам тестирования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осуществляется устранение ошибок и осуществляется (при необходимости)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доработка программного обеспечения.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При тестировании и отладке программного обеспечения осуществляется: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сборка дистрибутивов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проведение тестирования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устранение выявленных недостатков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- добавление в </w:t>
      </w:r>
      <w:proofErr w:type="spellStart"/>
      <w:r w:rsidRPr="00A45B2F">
        <w:rPr>
          <w:rFonts w:ascii="Times New Roman" w:hAnsi="Times New Roman" w:cs="Times New Roman"/>
          <w:sz w:val="24"/>
          <w:szCs w:val="24"/>
          <w:lang w:eastAsia="ru-RU"/>
        </w:rPr>
        <w:t>репозиторий</w:t>
      </w:r>
      <w:proofErr w:type="spellEnd"/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эталонных версий дистрибутивов и исходных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текстов программного обеспечения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корректировка программной документации.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По итогам тестирования и отладки сотрудник, ответственный за выпуск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, формирует заключение о качестве версии с оценкой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уровня исправления ошибок и запускает процесс согласования разрешения на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выпуск 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со следующими лицами: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- сотрудник проектной группы, ответственный за разработку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руководитель проекта;</w:t>
      </w:r>
    </w:p>
    <w:p w:rsid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руководитель подразделения, утверждающий разрешение на выпуск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Default="00C27F1A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F1A" w:rsidRDefault="00C27F1A" w:rsidP="00C27F1A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8" w:name="_Toc59703267"/>
      <w:r w:rsidRPr="00C27F1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Эксплуатация</w:t>
      </w:r>
      <w:r w:rsidRPr="00C27F1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и</w:t>
      </w:r>
      <w:r w:rsidRPr="00C27F1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сопровождение</w:t>
      </w:r>
      <w:bookmarkEnd w:id="8"/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ООО «АСТРАКОМ»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гарантирует соответствие 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 при соблюдении потребителем (пользователем)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и </w:t>
      </w:r>
      <w:proofErr w:type="gramStart"/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эксплуатационными документами.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 период эксплуатации и сопровождения программного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в установке, настройке,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устранении недостатков в работе программного обеспечения,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предприятие осуществляет обучение персонала, эксплуатирующего программное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обеспечение.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 ходе эксплуатации и сопровождения программного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программного обеспечения (ПО)– это процесс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улучшения и оптимизации ПО, а также поддержка действующих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 программных систем.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позволяет обнаружить дефекты и недоработки,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также добавлять новую функциональность, вносить изменения для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удобства использования программного обеспечения.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Услуги по поддержке программного обеспечения включают в себя такие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работы как: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исправление ошибок и устранение неполадок, не выявленных ранее;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оптимизация работы программы при различных условиях эксплуатации;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обновление и доработка по требованиям Заказчика;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профилактические работы по обслуживанию баз данных защищенной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операционной системы;</w:t>
      </w:r>
    </w:p>
    <w:p w:rsid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подготовка программной документации;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обновление модулей программы и используемых библиотек 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современных технологий.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осуществляется в формате консультирования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пользователей и администраторов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АПК «ОМЕГА»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установки,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переустановки, администрирования и эксплуатации по каналам связи (телефону,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электронной почте) или письменно по запросу.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технической поддержки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оказывают услуги по технической поддержке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обеспечения, находясь в постоянном контакте с сотрудниками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Заказчика, что позволяет оперативно и динамично развивать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сокращается время, необходимое на согласование плана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доработок и модернизации программного обеспечения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Pr="00927C32" w:rsidRDefault="00C27F1A" w:rsidP="00927C32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9" w:name="_Toc59703268"/>
      <w:r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Информация о персонале, необходимом для обеспечения поддержки</w:t>
      </w:r>
      <w:r w:rsidR="00EB603D"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программного обеспечения.</w:t>
      </w:r>
      <w:bookmarkEnd w:id="9"/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технической поддержки программного обеспечения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группа технической поддержки и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выделяется следующий персонал: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системный администратор;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сотрудник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 программного обеспечения;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сотрудник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тестирования программного обеспечения;</w:t>
      </w:r>
    </w:p>
    <w:p w:rsid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разработчик программной документации.</w:t>
      </w:r>
    </w:p>
    <w:p w:rsidR="00EB603D" w:rsidRPr="00EB603D" w:rsidRDefault="00EB603D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технической поддержки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 </w:t>
      </w:r>
      <w:r w:rsidR="004627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>тлф.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2732">
        <w:rPr>
          <w:rFonts w:ascii="Times New Roman" w:hAnsi="Times New Roman" w:cs="Times New Roman"/>
          <w:sz w:val="24"/>
          <w:szCs w:val="24"/>
          <w:lang w:eastAsia="ru-RU"/>
        </w:rPr>
        <w:t>+7812317</w:t>
      </w:r>
      <w:r w:rsidR="00462732" w:rsidRPr="00462732">
        <w:rPr>
          <w:rFonts w:ascii="Times New Roman" w:hAnsi="Times New Roman" w:cs="Times New Roman"/>
          <w:sz w:val="24"/>
          <w:szCs w:val="24"/>
          <w:lang w:eastAsia="ru-RU"/>
        </w:rPr>
        <w:t>7805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7C32">
        <w:rPr>
          <w:rFonts w:ascii="Times New Roman" w:hAnsi="Times New Roman" w:cs="Times New Roman"/>
          <w:sz w:val="24"/>
          <w:szCs w:val="24"/>
          <w:lang w:eastAsia="ru-RU"/>
        </w:rPr>
        <w:t>+7812317</w:t>
      </w:r>
      <w:r w:rsidR="00462732" w:rsidRPr="00462732">
        <w:rPr>
          <w:rFonts w:ascii="Times New Roman" w:hAnsi="Times New Roman" w:cs="Times New Roman"/>
          <w:sz w:val="24"/>
          <w:szCs w:val="24"/>
          <w:lang w:eastAsia="ru-RU"/>
        </w:rPr>
        <w:t>7805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03D" w:rsidRDefault="00EB603D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Также пользователи программного обеспечения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 могут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пересылать возникающие вопросы на электронную почту: </w:t>
      </w:r>
      <w:hyperlink r:id="rId10" w:history="1">
        <w:r w:rsidR="00927C32" w:rsidRPr="00927C32">
          <w:rPr>
            <w:rFonts w:ascii="Times New Roman" w:hAnsi="Times New Roman" w:cs="Times New Roman"/>
            <w:sz w:val="24"/>
            <w:szCs w:val="24"/>
          </w:rPr>
          <w:t>info@astracom.ru</w:t>
        </w:r>
      </w:hyperlink>
      <w:r w:rsidRPr="00EB6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7C32" w:rsidRPr="00927C32" w:rsidRDefault="00927C32" w:rsidP="00927C32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Инфраструктура разработки, разработчики и служба технический поддержки размещается по адресу: </w:t>
      </w:r>
      <w:r w:rsidRPr="00927C32">
        <w:rPr>
          <w:rFonts w:ascii="Times New Roman" w:hAnsi="Times New Roman" w:cs="Times New Roman"/>
          <w:sz w:val="24"/>
          <w:szCs w:val="24"/>
          <w:lang w:eastAsia="ru-RU"/>
        </w:rPr>
        <w:t>197046, Санкт-Петербург, ул. Куйбышева, д. 33/8</w:t>
      </w:r>
    </w:p>
    <w:p w:rsidR="00927C32" w:rsidRPr="00927C32" w:rsidRDefault="00927C32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6"/>
    <w:bookmarkEnd w:id="1"/>
    <w:sectPr w:rsidR="00927C32" w:rsidRPr="00927C32" w:rsidSect="002C230B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10" w:rsidRDefault="00511F10" w:rsidP="00E71394">
      <w:pPr>
        <w:spacing w:after="0"/>
      </w:pPr>
      <w:r>
        <w:separator/>
      </w:r>
    </w:p>
  </w:endnote>
  <w:endnote w:type="continuationSeparator" w:id="0">
    <w:p w:rsidR="00511F10" w:rsidRDefault="00511F10" w:rsidP="00E71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14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1F10" w:rsidRPr="002C230B" w:rsidRDefault="00511F10">
        <w:pPr>
          <w:pStyle w:val="af1"/>
          <w:jc w:val="right"/>
          <w:rPr>
            <w:rFonts w:ascii="Times New Roman" w:hAnsi="Times New Roman" w:cs="Times New Roman"/>
          </w:rPr>
        </w:pPr>
        <w:r w:rsidRPr="002C230B">
          <w:rPr>
            <w:rFonts w:ascii="Times New Roman" w:hAnsi="Times New Roman" w:cs="Times New Roman"/>
          </w:rPr>
          <w:fldChar w:fldCharType="begin"/>
        </w:r>
        <w:r w:rsidRPr="002C230B">
          <w:rPr>
            <w:rFonts w:ascii="Times New Roman" w:hAnsi="Times New Roman" w:cs="Times New Roman"/>
          </w:rPr>
          <w:instrText>PAGE   \* MERGEFORMAT</w:instrText>
        </w:r>
        <w:r w:rsidRPr="002C230B">
          <w:rPr>
            <w:rFonts w:ascii="Times New Roman" w:hAnsi="Times New Roman" w:cs="Times New Roman"/>
          </w:rPr>
          <w:fldChar w:fldCharType="separate"/>
        </w:r>
        <w:r w:rsidR="00B46C53">
          <w:rPr>
            <w:rFonts w:ascii="Times New Roman" w:hAnsi="Times New Roman" w:cs="Times New Roman"/>
            <w:noProof/>
          </w:rPr>
          <w:t>8</w:t>
        </w:r>
        <w:r w:rsidRPr="002C230B">
          <w:rPr>
            <w:rFonts w:ascii="Times New Roman" w:hAnsi="Times New Roman" w:cs="Times New Roman"/>
          </w:rPr>
          <w:fldChar w:fldCharType="end"/>
        </w:r>
      </w:p>
    </w:sdtContent>
  </w:sdt>
  <w:p w:rsidR="00511F10" w:rsidRDefault="00511F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10" w:rsidRDefault="00511F10" w:rsidP="00E71394">
      <w:pPr>
        <w:spacing w:after="0"/>
      </w:pPr>
      <w:r>
        <w:separator/>
      </w:r>
    </w:p>
  </w:footnote>
  <w:footnote w:type="continuationSeparator" w:id="0">
    <w:p w:rsidR="00511F10" w:rsidRDefault="00511F10" w:rsidP="00E71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12E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2450E"/>
    <w:multiLevelType w:val="hybridMultilevel"/>
    <w:tmpl w:val="CE22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726"/>
    <w:multiLevelType w:val="hybridMultilevel"/>
    <w:tmpl w:val="D4205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DB"/>
    <w:multiLevelType w:val="hybridMultilevel"/>
    <w:tmpl w:val="3B34A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526D"/>
    <w:multiLevelType w:val="hybridMultilevel"/>
    <w:tmpl w:val="C9E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30D5"/>
    <w:multiLevelType w:val="hybridMultilevel"/>
    <w:tmpl w:val="51E2B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4C0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265A4"/>
    <w:multiLevelType w:val="hybridMultilevel"/>
    <w:tmpl w:val="39501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2B02"/>
    <w:multiLevelType w:val="hybridMultilevel"/>
    <w:tmpl w:val="5AEC8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3794"/>
    <w:multiLevelType w:val="hybridMultilevel"/>
    <w:tmpl w:val="B41AF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4EB8"/>
    <w:multiLevelType w:val="hybridMultilevel"/>
    <w:tmpl w:val="7818B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0079"/>
    <w:multiLevelType w:val="hybridMultilevel"/>
    <w:tmpl w:val="9D2C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3B6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9CA5B2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D056D1"/>
    <w:multiLevelType w:val="hybridMultilevel"/>
    <w:tmpl w:val="B754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23FB"/>
    <w:multiLevelType w:val="hybridMultilevel"/>
    <w:tmpl w:val="04801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E5BD7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871157"/>
    <w:multiLevelType w:val="hybridMultilevel"/>
    <w:tmpl w:val="F46A1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8E27B4D"/>
    <w:multiLevelType w:val="hybridMultilevel"/>
    <w:tmpl w:val="2F46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2286"/>
    <w:multiLevelType w:val="hybridMultilevel"/>
    <w:tmpl w:val="52AA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2143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A9A5B83"/>
    <w:multiLevelType w:val="hybridMultilevel"/>
    <w:tmpl w:val="ECEE2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4737"/>
    <w:multiLevelType w:val="hybridMultilevel"/>
    <w:tmpl w:val="AEC67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557C"/>
    <w:multiLevelType w:val="hybridMultilevel"/>
    <w:tmpl w:val="55D8B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6378F"/>
    <w:multiLevelType w:val="hybridMultilevel"/>
    <w:tmpl w:val="EFBC982A"/>
    <w:lvl w:ilvl="0" w:tplc="956CC12A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48C628B6"/>
    <w:multiLevelType w:val="hybridMultilevel"/>
    <w:tmpl w:val="046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47E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24D1958"/>
    <w:multiLevelType w:val="hybridMultilevel"/>
    <w:tmpl w:val="0A443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D4B"/>
    <w:multiLevelType w:val="hybridMultilevel"/>
    <w:tmpl w:val="96CCB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04CF"/>
    <w:multiLevelType w:val="hybridMultilevel"/>
    <w:tmpl w:val="61A46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60AED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3F2608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94795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0C1F1A"/>
    <w:multiLevelType w:val="hybridMultilevel"/>
    <w:tmpl w:val="ACC48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C7674"/>
    <w:multiLevelType w:val="hybridMultilevel"/>
    <w:tmpl w:val="2898D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472F"/>
    <w:multiLevelType w:val="hybridMultilevel"/>
    <w:tmpl w:val="3C20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90E76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5773D0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4A1E83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C77B33"/>
    <w:multiLevelType w:val="hybridMultilevel"/>
    <w:tmpl w:val="73B4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B2903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320C82"/>
    <w:multiLevelType w:val="hybridMultilevel"/>
    <w:tmpl w:val="1A64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67B57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9E3792"/>
    <w:multiLevelType w:val="hybridMultilevel"/>
    <w:tmpl w:val="3562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6"/>
  </w:num>
  <w:num w:numId="4">
    <w:abstractNumId w:val="16"/>
  </w:num>
  <w:num w:numId="5">
    <w:abstractNumId w:val="0"/>
  </w:num>
  <w:num w:numId="6">
    <w:abstractNumId w:val="13"/>
  </w:num>
  <w:num w:numId="7">
    <w:abstractNumId w:val="42"/>
  </w:num>
  <w:num w:numId="8">
    <w:abstractNumId w:val="20"/>
  </w:num>
  <w:num w:numId="9">
    <w:abstractNumId w:val="30"/>
  </w:num>
  <w:num w:numId="10">
    <w:abstractNumId w:val="40"/>
  </w:num>
  <w:num w:numId="11">
    <w:abstractNumId w:val="36"/>
  </w:num>
  <w:num w:numId="12">
    <w:abstractNumId w:val="32"/>
  </w:num>
  <w:num w:numId="13">
    <w:abstractNumId w:val="31"/>
  </w:num>
  <w:num w:numId="14">
    <w:abstractNumId w:val="12"/>
  </w:num>
  <w:num w:numId="15">
    <w:abstractNumId w:val="37"/>
  </w:num>
  <w:num w:numId="16">
    <w:abstractNumId w:val="38"/>
  </w:num>
  <w:num w:numId="17">
    <w:abstractNumId w:val="2"/>
  </w:num>
  <w:num w:numId="18">
    <w:abstractNumId w:val="7"/>
  </w:num>
  <w:num w:numId="19">
    <w:abstractNumId w:val="29"/>
  </w:num>
  <w:num w:numId="20">
    <w:abstractNumId w:val="22"/>
  </w:num>
  <w:num w:numId="21">
    <w:abstractNumId w:val="9"/>
  </w:num>
  <w:num w:numId="22">
    <w:abstractNumId w:val="28"/>
  </w:num>
  <w:num w:numId="23">
    <w:abstractNumId w:val="4"/>
  </w:num>
  <w:num w:numId="24">
    <w:abstractNumId w:val="8"/>
  </w:num>
  <w:num w:numId="25">
    <w:abstractNumId w:val="1"/>
  </w:num>
  <w:num w:numId="26">
    <w:abstractNumId w:val="21"/>
  </w:num>
  <w:num w:numId="27">
    <w:abstractNumId w:val="15"/>
  </w:num>
  <w:num w:numId="28">
    <w:abstractNumId w:val="34"/>
  </w:num>
  <w:num w:numId="29">
    <w:abstractNumId w:val="33"/>
  </w:num>
  <w:num w:numId="30">
    <w:abstractNumId w:val="41"/>
  </w:num>
  <w:num w:numId="31">
    <w:abstractNumId w:val="10"/>
  </w:num>
  <w:num w:numId="32">
    <w:abstractNumId w:val="11"/>
  </w:num>
  <w:num w:numId="33">
    <w:abstractNumId w:val="3"/>
  </w:num>
  <w:num w:numId="34">
    <w:abstractNumId w:val="27"/>
  </w:num>
  <w:num w:numId="35">
    <w:abstractNumId w:val="23"/>
  </w:num>
  <w:num w:numId="36">
    <w:abstractNumId w:val="39"/>
  </w:num>
  <w:num w:numId="37">
    <w:abstractNumId w:val="14"/>
  </w:num>
  <w:num w:numId="38">
    <w:abstractNumId w:val="5"/>
  </w:num>
  <w:num w:numId="39">
    <w:abstractNumId w:val="43"/>
  </w:num>
  <w:num w:numId="40">
    <w:abstractNumId w:val="18"/>
  </w:num>
  <w:num w:numId="41">
    <w:abstractNumId w:val="17"/>
  </w:num>
  <w:num w:numId="42">
    <w:abstractNumId w:val="25"/>
  </w:num>
  <w:num w:numId="43">
    <w:abstractNumId w:val="19"/>
  </w:num>
  <w:num w:numId="44">
    <w:abstractNumId w:val="24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2B"/>
    <w:rsid w:val="00003950"/>
    <w:rsid w:val="00044D07"/>
    <w:rsid w:val="000C7A45"/>
    <w:rsid w:val="000E0792"/>
    <w:rsid w:val="000E642E"/>
    <w:rsid w:val="000E7D65"/>
    <w:rsid w:val="00165217"/>
    <w:rsid w:val="00177681"/>
    <w:rsid w:val="0019111E"/>
    <w:rsid w:val="00192626"/>
    <w:rsid w:val="001958FF"/>
    <w:rsid w:val="001A20F5"/>
    <w:rsid w:val="001E20B8"/>
    <w:rsid w:val="002862EE"/>
    <w:rsid w:val="00295216"/>
    <w:rsid w:val="002C230B"/>
    <w:rsid w:val="002C2E56"/>
    <w:rsid w:val="002C4CA0"/>
    <w:rsid w:val="002F5422"/>
    <w:rsid w:val="002F6E19"/>
    <w:rsid w:val="003370D0"/>
    <w:rsid w:val="00344002"/>
    <w:rsid w:val="00377C66"/>
    <w:rsid w:val="00396DE0"/>
    <w:rsid w:val="0039778B"/>
    <w:rsid w:val="003A6CF0"/>
    <w:rsid w:val="003F412D"/>
    <w:rsid w:val="00415694"/>
    <w:rsid w:val="00454A2D"/>
    <w:rsid w:val="00462732"/>
    <w:rsid w:val="00486A37"/>
    <w:rsid w:val="004A314C"/>
    <w:rsid w:val="004B6BE7"/>
    <w:rsid w:val="004B7BCC"/>
    <w:rsid w:val="004C3887"/>
    <w:rsid w:val="004E0C9A"/>
    <w:rsid w:val="004E6944"/>
    <w:rsid w:val="004F37E4"/>
    <w:rsid w:val="00511F10"/>
    <w:rsid w:val="00531CDD"/>
    <w:rsid w:val="00577544"/>
    <w:rsid w:val="005E06EC"/>
    <w:rsid w:val="0060073C"/>
    <w:rsid w:val="0060456E"/>
    <w:rsid w:val="00637995"/>
    <w:rsid w:val="00642123"/>
    <w:rsid w:val="00666076"/>
    <w:rsid w:val="0069382B"/>
    <w:rsid w:val="006E5D37"/>
    <w:rsid w:val="006E6B45"/>
    <w:rsid w:val="00777454"/>
    <w:rsid w:val="007826CA"/>
    <w:rsid w:val="007854AA"/>
    <w:rsid w:val="00794F7F"/>
    <w:rsid w:val="007A3321"/>
    <w:rsid w:val="007C588A"/>
    <w:rsid w:val="007E27A5"/>
    <w:rsid w:val="007F71BE"/>
    <w:rsid w:val="008558AB"/>
    <w:rsid w:val="00885D66"/>
    <w:rsid w:val="008866F6"/>
    <w:rsid w:val="00897906"/>
    <w:rsid w:val="008D5469"/>
    <w:rsid w:val="0091325E"/>
    <w:rsid w:val="00927C32"/>
    <w:rsid w:val="0096058A"/>
    <w:rsid w:val="0098512B"/>
    <w:rsid w:val="009A7A03"/>
    <w:rsid w:val="009C45D9"/>
    <w:rsid w:val="009C4B71"/>
    <w:rsid w:val="009D7174"/>
    <w:rsid w:val="00A45B2F"/>
    <w:rsid w:val="00A512AA"/>
    <w:rsid w:val="00A82F54"/>
    <w:rsid w:val="00AC0BEB"/>
    <w:rsid w:val="00AE19E7"/>
    <w:rsid w:val="00B05FB5"/>
    <w:rsid w:val="00B1006C"/>
    <w:rsid w:val="00B46C53"/>
    <w:rsid w:val="00B55339"/>
    <w:rsid w:val="00BA415B"/>
    <w:rsid w:val="00BF3940"/>
    <w:rsid w:val="00C035EE"/>
    <w:rsid w:val="00C22CE3"/>
    <w:rsid w:val="00C27F1A"/>
    <w:rsid w:val="00C357CF"/>
    <w:rsid w:val="00C52800"/>
    <w:rsid w:val="00C60952"/>
    <w:rsid w:val="00C61175"/>
    <w:rsid w:val="00C65A2C"/>
    <w:rsid w:val="00CF4368"/>
    <w:rsid w:val="00D90F15"/>
    <w:rsid w:val="00DA566A"/>
    <w:rsid w:val="00DB6152"/>
    <w:rsid w:val="00DD42FE"/>
    <w:rsid w:val="00DE0B0D"/>
    <w:rsid w:val="00DF746B"/>
    <w:rsid w:val="00E22FF2"/>
    <w:rsid w:val="00E71394"/>
    <w:rsid w:val="00EB603D"/>
    <w:rsid w:val="00EB716F"/>
    <w:rsid w:val="00EE106F"/>
    <w:rsid w:val="00F06861"/>
    <w:rsid w:val="00F23BBB"/>
    <w:rsid w:val="00F43DC7"/>
    <w:rsid w:val="00F72A44"/>
    <w:rsid w:val="00F91F0D"/>
    <w:rsid w:val="00F96ECF"/>
    <w:rsid w:val="00FE2257"/>
    <w:rsid w:val="00FE2964"/>
    <w:rsid w:val="00FE3DC2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847DCB-5647-4C5F-B67E-4D94F44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2E"/>
    <w:pPr>
      <w:spacing w:before="60" w:after="6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7A45"/>
    <w:pPr>
      <w:keepNext/>
      <w:keepLines/>
      <w:pageBreakBefore/>
      <w:numPr>
        <w:numId w:val="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E56"/>
    <w:pPr>
      <w:keepNext/>
      <w:keepLines/>
      <w:numPr>
        <w:ilvl w:val="1"/>
        <w:numId w:val="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394"/>
    <w:pPr>
      <w:keepNext/>
      <w:keepLines/>
      <w:numPr>
        <w:ilvl w:val="2"/>
        <w:numId w:val="2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1394"/>
    <w:pPr>
      <w:keepNext/>
      <w:keepLines/>
      <w:numPr>
        <w:ilvl w:val="3"/>
        <w:numId w:val="2"/>
      </w:numPr>
      <w:spacing w:before="200" w:after="12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B0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B0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0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0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0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0D"/>
    <w:pPr>
      <w:spacing w:after="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1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0B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0B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0B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0B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0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0B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E71394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13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1394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0C7A45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230B"/>
    <w:pPr>
      <w:tabs>
        <w:tab w:val="left" w:pos="440"/>
        <w:tab w:val="right" w:leader="dot" w:pos="9356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7A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7A45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0C7A4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7A4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A4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0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577544"/>
    <w:pPr>
      <w:spacing w:before="0" w:after="200"/>
      <w:jc w:val="center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C230B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2C230B"/>
  </w:style>
  <w:style w:type="paragraph" w:styleId="af1">
    <w:name w:val="footer"/>
    <w:basedOn w:val="a"/>
    <w:link w:val="af2"/>
    <w:uiPriority w:val="99"/>
    <w:unhideWhenUsed/>
    <w:rsid w:val="002C230B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2C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straco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B819-CF40-46C7-8312-3462FFA0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</dc:creator>
  <cp:lastModifiedBy>Александр Н. Зюзин</cp:lastModifiedBy>
  <cp:revision>5</cp:revision>
  <cp:lastPrinted>2016-02-05T10:54:00Z</cp:lastPrinted>
  <dcterms:created xsi:type="dcterms:W3CDTF">2020-12-24T08:09:00Z</dcterms:created>
  <dcterms:modified xsi:type="dcterms:W3CDTF">2020-12-24T08:55:00Z</dcterms:modified>
</cp:coreProperties>
</file>